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D" w:rsidRPr="00A456A9" w:rsidRDefault="00CB6C5D" w:rsidP="00CB6C5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Arial Unicode MS" w:hAnsi="Arial" w:cs="Arial"/>
          <w:b/>
          <w:lang w:eastAsia="pl-PL"/>
        </w:rPr>
      </w:pPr>
      <w:r w:rsidRPr="00A456A9">
        <w:rPr>
          <w:rFonts w:ascii="Arial" w:eastAsia="Times New Roman" w:hAnsi="Arial" w:cs="Arial"/>
          <w:b/>
          <w:bCs/>
          <w:lang w:eastAsia="pl-PL"/>
        </w:rPr>
        <w:t>ZAWODY</w:t>
      </w:r>
      <w:r w:rsidRPr="00A456A9">
        <w:rPr>
          <w:rFonts w:ascii="Arial" w:eastAsia="Times New Roman" w:hAnsi="Arial" w:cs="Arial"/>
          <w:b/>
          <w:bCs/>
          <w:spacing w:val="-1"/>
          <w:lang w:eastAsia="pl-PL"/>
        </w:rPr>
        <w:t xml:space="preserve"> </w:t>
      </w:r>
      <w:r w:rsidRPr="00A456A9">
        <w:rPr>
          <w:rFonts w:ascii="Arial" w:eastAsia="Times New Roman" w:hAnsi="Arial" w:cs="Arial"/>
          <w:b/>
          <w:bCs/>
          <w:lang w:eastAsia="pl-PL"/>
        </w:rPr>
        <w:t>DEFICYTOWE I</w:t>
      </w:r>
      <w:r w:rsidRPr="00A456A9">
        <w:rPr>
          <w:rFonts w:ascii="Arial" w:eastAsia="Times New Roman" w:hAnsi="Arial" w:cs="Arial"/>
          <w:b/>
          <w:bCs/>
          <w:spacing w:val="-1"/>
          <w:lang w:eastAsia="pl-PL"/>
        </w:rPr>
        <w:t xml:space="preserve"> </w:t>
      </w:r>
      <w:r w:rsidRPr="00A456A9">
        <w:rPr>
          <w:rFonts w:ascii="Arial" w:eastAsia="Times New Roman" w:hAnsi="Arial" w:cs="Arial"/>
          <w:b/>
          <w:bCs/>
          <w:lang w:eastAsia="pl-PL"/>
        </w:rPr>
        <w:t>NADWY</w:t>
      </w:r>
      <w:r w:rsidRPr="00A456A9">
        <w:rPr>
          <w:rFonts w:ascii="Arial Unicode MS" w:eastAsia="Arial Unicode MS" w:hAnsi="Arial" w:cs="Arial Unicode MS"/>
          <w:b/>
          <w:lang w:eastAsia="pl-PL"/>
        </w:rPr>
        <w:t>Ż</w:t>
      </w:r>
      <w:r w:rsidRPr="00A456A9">
        <w:rPr>
          <w:rFonts w:ascii="Arial" w:eastAsia="Arial Unicode MS" w:hAnsi="Arial" w:cs="Arial"/>
          <w:b/>
          <w:bCs/>
          <w:lang w:eastAsia="pl-PL"/>
        </w:rPr>
        <w:t>KOWE</w:t>
      </w:r>
    </w:p>
    <w:p w:rsidR="00CB6C5D" w:rsidRPr="00A456A9" w:rsidRDefault="00CB6C5D" w:rsidP="00CB6C5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Arial Unicode MS" w:hAnsi="Arial" w:cs="Arial"/>
          <w:b/>
          <w:lang w:eastAsia="pl-PL"/>
        </w:rPr>
      </w:pPr>
      <w:r w:rsidRPr="00A456A9">
        <w:rPr>
          <w:rFonts w:ascii="Arial" w:eastAsia="Times New Roman" w:hAnsi="Arial" w:cs="Arial"/>
          <w:b/>
          <w:bCs/>
          <w:lang w:eastAsia="pl-PL"/>
        </w:rPr>
        <w:t>Powiat ko</w:t>
      </w:r>
      <w:r w:rsidRPr="00A456A9">
        <w:rPr>
          <w:rFonts w:ascii="Arial Unicode MS" w:eastAsia="Arial Unicode MS" w:hAnsi="Arial" w:cs="Arial Unicode MS"/>
          <w:b/>
          <w:lang w:eastAsia="pl-PL"/>
        </w:rPr>
        <w:t>ł</w:t>
      </w:r>
      <w:r w:rsidRPr="00A456A9">
        <w:rPr>
          <w:rFonts w:ascii="Arial" w:eastAsia="Arial Unicode MS" w:hAnsi="Arial" w:cs="Arial"/>
          <w:b/>
          <w:bCs/>
          <w:lang w:eastAsia="pl-PL"/>
        </w:rPr>
        <w:t>obrzeski</w:t>
      </w:r>
    </w:p>
    <w:p w:rsidR="007A0AC0" w:rsidRPr="00A456A9" w:rsidRDefault="00CB6C5D" w:rsidP="007A0AC0">
      <w:pPr>
        <w:widowControl w:val="0"/>
        <w:kinsoku w:val="0"/>
        <w:overflowPunct w:val="0"/>
        <w:autoSpaceDE w:val="0"/>
        <w:autoSpaceDN w:val="0"/>
        <w:adjustRightInd w:val="0"/>
        <w:spacing w:after="0" w:line="338" w:lineRule="exact"/>
        <w:ind w:right="23"/>
        <w:jc w:val="center"/>
        <w:rPr>
          <w:rFonts w:ascii="Arial" w:eastAsia="Arial Unicode MS" w:hAnsi="Arial" w:cs="Arial"/>
          <w:b/>
          <w:bCs/>
          <w:lang w:eastAsia="pl-PL"/>
        </w:rPr>
      </w:pPr>
      <w:r w:rsidRPr="00A456A9">
        <w:rPr>
          <w:rFonts w:ascii="Arial" w:eastAsia="Times New Roman" w:hAnsi="Arial" w:cs="Arial"/>
          <w:b/>
          <w:bCs/>
          <w:lang w:eastAsia="pl-PL"/>
        </w:rPr>
        <w:t xml:space="preserve">INFORMACJA SYGNALNA </w:t>
      </w:r>
      <w:r w:rsidRPr="00A456A9">
        <w:rPr>
          <w:rFonts w:ascii="Arial" w:eastAsia="Arial Unicode MS" w:hAnsi="Arial" w:cs="Arial"/>
          <w:b/>
          <w:bCs/>
          <w:lang w:eastAsia="pl-PL"/>
        </w:rPr>
        <w:t xml:space="preserve"> 2015 r.</w:t>
      </w:r>
    </w:p>
    <w:p w:rsidR="00CB6C5D" w:rsidRDefault="00CB6C5D" w:rsidP="00CB6C5D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00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505"/>
        <w:gridCol w:w="6786"/>
      </w:tblGrid>
      <w:tr w:rsidR="00CB6C5D" w:rsidTr="000B65C1">
        <w:trPr>
          <w:trHeight w:hRule="exact" w:val="284"/>
        </w:trPr>
        <w:tc>
          <w:tcPr>
            <w:tcW w:w="1309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Pr="00A456A9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6A9"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505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Grupa</w:t>
            </w:r>
            <w:r>
              <w:rPr>
                <w:rFonts w:ascii="Arial Unicode MS" w:eastAsia="Arial Unicode MS" w:hAnsi="Times New Roman" w:cs="Arial Unicode MS" w:hint="eastAsia"/>
                <w:spacing w:val="-15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  <w:lang w:eastAsia="pl-PL"/>
              </w:rPr>
              <w:t>elementarna</w:t>
            </w:r>
          </w:p>
        </w:tc>
      </w:tr>
      <w:tr w:rsidR="009E564A" w:rsidTr="00220657">
        <w:trPr>
          <w:trHeight w:hRule="exact" w:val="284"/>
        </w:trPr>
        <w:tc>
          <w:tcPr>
            <w:tcW w:w="1309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505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left="58" w:right="59"/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left="58" w:right="59"/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left="58" w:right="59"/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left="58" w:right="59"/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</w:pP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zaw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d maksymalnie deficytowy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Pośrednicy pracy i zatrudnienia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krojczowie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odzieży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maszyn do szycia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aparatury medycznej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 w:rsidP="004438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Kaletnicy, rymarze i pokrewni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Ankieterzy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Dealerzy i maklerzy aktywów finansowych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N-le kształcenia zawodowego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urządzeń do wyrobu masy papierniczej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 w:rsidP="000B6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Urzędnicy do spraw podatków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 w:rsidP="000B6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Administratorzy systemów komputerowych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Kierownicy w gastronomii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Pr="004438AE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4438A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zaw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d</w:t>
            </w:r>
            <w:r>
              <w:rPr>
                <w:rFonts w:ascii="Arial Unicode MS" w:eastAsia="Arial Unicode MS" w:hAnsi="Times New Roman" w:cs="Arial Unicode MS" w:hint="eastAsia"/>
                <w:b/>
                <w:spacing w:val="-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deficytowy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przygotowujący posiłki typu fast food</w:t>
            </w:r>
          </w:p>
        </w:tc>
      </w:tr>
      <w:tr w:rsidR="009E564A" w:rsidTr="00220657">
        <w:trPr>
          <w:trHeight w:val="31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2" w:lineRule="auto"/>
              <w:ind w:right="1261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Średni personel w zakresie działalności artystycznej i kulturalnej gdzie indziej  </w:t>
            </w:r>
          </w:p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2" w:lineRule="auto"/>
              <w:ind w:right="1261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niesklasyfikowany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centrów obsługi telefonicznej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Lekarze specjaliści ( ze specjalizacją II stopnia lub tytułem specjalisty )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Pracownicy świadczący usługi na ulicach 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do spraw kredytów, pożyczek i pokrewni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Pozostali pracownicy zajmujący się sprzątaniem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Organizatorzy konferencji i imprez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maszyn do prania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Lekarze weterynarii bez specjalizacji lub w trakcie specjalizacji 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Analitycy systemów komputerowych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Masarze, robotnicy w przetwórstwie ryb i pokrewni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Psycholodzy i pokrewni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</w:tr>
      <w:tr w:rsidR="009E564A" w:rsidTr="00220657">
        <w:trPr>
          <w:trHeight w:val="284"/>
        </w:trPr>
        <w:tc>
          <w:tcPr>
            <w:tcW w:w="1309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E564A" w:rsidRDefault="009E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E564A" w:rsidRDefault="009E56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</w:tr>
      <w:tr w:rsidR="00CB6C5D" w:rsidTr="00860EEF">
        <w:trPr>
          <w:trHeight w:hRule="exact" w:val="486"/>
        </w:trPr>
        <w:tc>
          <w:tcPr>
            <w:tcW w:w="1309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R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WNOWAGA</w:t>
            </w:r>
          </w:p>
        </w:tc>
        <w:tc>
          <w:tcPr>
            <w:tcW w:w="1505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Pr="00DA0798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2" w:lineRule="auto"/>
              <w:ind w:right="37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A0798"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Z</w:t>
            </w:r>
            <w:r w:rsidR="00CB6C5D" w:rsidRPr="00DA0798"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aw</w:t>
            </w:r>
            <w:r w:rsidR="00CB6C5D" w:rsidRPr="00DA0798"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d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 xml:space="preserve"> </w:t>
            </w:r>
            <w:r w:rsidR="00CB6C5D" w:rsidRPr="00DA0798"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zr</w:t>
            </w:r>
            <w:r w:rsidR="00CB6C5D" w:rsidRPr="00DA0798"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 w:rsidR="00CB6C5D" w:rsidRPr="00DA0798"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wnowa</w:t>
            </w:r>
            <w:r w:rsidR="00CB6C5D" w:rsidRPr="00DA0798"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ż</w:t>
            </w:r>
            <w:r w:rsidR="00CB6C5D" w:rsidRPr="00DA0798"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ony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Lekarze bez specjalizacji, w trakcie specjalizacji lub ze specjalizacj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>ą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  <w:lang w:eastAsia="pl-PL"/>
              </w:rPr>
              <w:t xml:space="preserve"> I stopnia</w:t>
            </w:r>
          </w:p>
        </w:tc>
      </w:tr>
      <w:tr w:rsidR="00CB6C5D" w:rsidTr="00860EEF">
        <w:trPr>
          <w:trHeight w:hRule="exact" w:val="284"/>
        </w:trPr>
        <w:tc>
          <w:tcPr>
            <w:tcW w:w="1309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Pr="007A0AC0" w:rsidRDefault="007A0A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7A0AC0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NADWYŻKA</w:t>
            </w: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lastRenderedPageBreak/>
              <w:t>NADWY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Ż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KA</w:t>
            </w:r>
          </w:p>
        </w:tc>
        <w:tc>
          <w:tcPr>
            <w:tcW w:w="1505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left="58" w:right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6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="00A456A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A456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 xml:space="preserve"> nadwy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ż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kowy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Specjaliści do spraw wychowania małego dziecka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Inżynierowie inżynierii środowiska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Zaopatrzeniowcy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Projektanci grafiki i multimediów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</w:tr>
      <w:tr w:rsidR="00CB6C5D" w:rsidTr="00860EEF"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Technicy technologii żywności</w:t>
            </w:r>
          </w:p>
        </w:tc>
      </w:tr>
      <w:tr w:rsidR="00CB6C5D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Robotnicy robót stanu surowego i pokrewni gdzie indziej nieskalsyfikowani</w:t>
            </w:r>
          </w:p>
        </w:tc>
      </w:tr>
      <w:tr w:rsidR="00DA0798" w:rsidTr="00860EEF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DA0798" w:rsidRDefault="00D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DA0798" w:rsidRDefault="00D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DA0798" w:rsidRDefault="00DA07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Fizjoterapeuci</w:t>
            </w:r>
          </w:p>
        </w:tc>
      </w:tr>
      <w:tr w:rsidR="00CB6C5D" w:rsidTr="00860EEF">
        <w:trPr>
          <w:trHeight w:hRule="exact"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456A9" w:rsidRDefault="00CB6C5D" w:rsidP="00A456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right="59"/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zaw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ó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 xml:space="preserve">d </w:t>
            </w:r>
          </w:p>
          <w:p w:rsidR="00CB6C5D" w:rsidRDefault="00CB6C5D" w:rsidP="00A456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auto"/>
              <w:ind w:right="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maksymalnie nadwy</w:t>
            </w:r>
            <w:r>
              <w:rPr>
                <w:rFonts w:ascii="Arial Unicode MS" w:eastAsia="Arial Unicode MS" w:hAnsi="Times New Roman" w:cs="Arial Unicode MS"/>
                <w:b/>
                <w:sz w:val="16"/>
                <w:szCs w:val="16"/>
                <w:lang w:eastAsia="pl-PL"/>
              </w:rPr>
              <w:t>ż</w:t>
            </w:r>
            <w:r>
              <w:rPr>
                <w:rFonts w:ascii="Arial Unicode MS" w:eastAsia="Arial Unicode MS" w:hAnsi="Times New Roman" w:cs="Arial Unicode MS" w:hint="eastAsia"/>
                <w:b/>
                <w:sz w:val="16"/>
                <w:szCs w:val="16"/>
                <w:lang w:eastAsia="pl-PL"/>
              </w:rPr>
              <w:t>kowy</w:t>
            </w: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860EEF" w:rsidP="00860E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Zamiatacze i pokrewni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860E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Piloci statków powietrznych i personel pokrewny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860E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domowej opieki osobistej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860E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Właściciele sklepów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860E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Rolnicy produkcji roślinnej i zwierzęcej </w:t>
            </w:r>
            <w:r w:rsidR="002A5C39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pracujący na własne potrzeby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2A5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Sadownicy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CB6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Operatorzy centrali telefonicznych</w:t>
            </w:r>
          </w:p>
        </w:tc>
      </w:tr>
      <w:tr w:rsidR="00CB6C5D" w:rsidTr="000B65C1">
        <w:trPr>
          <w:trHeight w:val="284"/>
        </w:trPr>
        <w:tc>
          <w:tcPr>
            <w:tcW w:w="1309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CB6C5D" w:rsidRDefault="00C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B6C5D" w:rsidRDefault="002A5C39" w:rsidP="002A5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Rzeczoznawcy ( z wyłączeniem majątkowych )</w:t>
            </w:r>
          </w:p>
        </w:tc>
      </w:tr>
    </w:tbl>
    <w:p w:rsidR="00CB6C5D" w:rsidRDefault="00CB6C5D" w:rsidP="00CB6C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p w:rsidR="00CB6C5D" w:rsidRDefault="00CB6C5D" w:rsidP="001671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Monitoring zawodów deficytowych i nadwyżkowych został wykonany według nowej metodologii przygotowanej w ramach projektu współfinansowanego ze środków UE z w ramach EFS „Opracowanie nowych zaleceń metodycznych prowadzenia monitoringu zawodów deficytowych i nadwyżkowych na lokalnym rynku pracy”.</w:t>
      </w:r>
    </w:p>
    <w:p w:rsidR="00294674" w:rsidRDefault="00294674">
      <w:bookmarkStart w:id="0" w:name="_GoBack"/>
      <w:bookmarkEnd w:id="0"/>
    </w:p>
    <w:sectPr w:rsidR="0029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5"/>
    <w:rsid w:val="000B65C1"/>
    <w:rsid w:val="001671AE"/>
    <w:rsid w:val="00294674"/>
    <w:rsid w:val="002A5C39"/>
    <w:rsid w:val="004438AE"/>
    <w:rsid w:val="00512327"/>
    <w:rsid w:val="007A0AC0"/>
    <w:rsid w:val="00860EEF"/>
    <w:rsid w:val="009E564A"/>
    <w:rsid w:val="00A456A9"/>
    <w:rsid w:val="00CB6C5D"/>
    <w:rsid w:val="00DA0798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2016-02-22T12:05:00Z</dcterms:created>
  <dcterms:modified xsi:type="dcterms:W3CDTF">2016-02-29T12:01:00Z</dcterms:modified>
</cp:coreProperties>
</file>